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4781A2C1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AF64DA7" w:rsidR="00C97625" w:rsidRPr="00595DDC" w:rsidRDefault="00816FDD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51642" w:rsidRPr="00620848">
                <w:rPr>
                  <w:rStyle w:val="Hyperlink"/>
                </w:rPr>
                <w:t>027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32F97E7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323724C7" w:rsidR="00C97625" w:rsidRPr="009F3D0E" w:rsidRDefault="00991B3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Move OBD to Settlement Metering Operating Guide – EPS Metering Design Proposal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CE8EA34" w:rsidR="00FC0BDC" w:rsidRPr="009F3D0E" w:rsidRDefault="00991B3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9,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063A410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>No project required.  This Settlement Metering Operating Guide Revision Request (SMOGRR)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C96C3DF" w:rsidR="006B0C5E" w:rsidRDefault="00816FD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16FDD">
      <w:rPr>
        <w:rFonts w:ascii="Arial" w:hAnsi="Arial"/>
        <w:sz w:val="18"/>
      </w:rPr>
      <w:t>027SMOGRR-02 Impact Analysis 080923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FDD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986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2023-08-09T14:55:00Z</dcterms:created>
  <dcterms:modified xsi:type="dcterms:W3CDTF">2024-02-20T01:50:00Z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